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50E4" w14:textId="77777777" w:rsidR="00800720" w:rsidRDefault="00800720" w:rsidP="00800720">
      <w:pPr>
        <w:spacing w:after="120" w:line="240" w:lineRule="auto"/>
        <w:rPr>
          <w:rFonts w:ascii="Times New Roman" w:eastAsiaTheme="minorEastAsia" w:hAnsi="Times New Roman"/>
          <w:noProof/>
          <w:lang w:eastAsia="tr-TR"/>
        </w:rPr>
      </w:pPr>
    </w:p>
    <w:p w14:paraId="7CE250E5" w14:textId="77777777" w:rsidR="00800720" w:rsidRDefault="00800720" w:rsidP="00800720">
      <w:pPr>
        <w:spacing w:after="120" w:line="240" w:lineRule="auto"/>
        <w:rPr>
          <w:rFonts w:ascii="Times New Roman" w:eastAsiaTheme="minorEastAsia" w:hAnsi="Times New Roman"/>
          <w:noProof/>
          <w:lang w:eastAsia="tr-TR"/>
        </w:rPr>
      </w:pPr>
    </w:p>
    <w:p w14:paraId="7CE250E6" w14:textId="77777777" w:rsidR="00800720" w:rsidRDefault="00800720" w:rsidP="00800720">
      <w:pPr>
        <w:spacing w:after="120" w:line="240" w:lineRule="auto"/>
        <w:rPr>
          <w:rFonts w:ascii="Times New Roman" w:eastAsiaTheme="minorEastAsia" w:hAnsi="Times New Roman"/>
          <w:noProof/>
          <w:lang w:eastAsia="tr-TR"/>
        </w:rPr>
      </w:pPr>
    </w:p>
    <w:p w14:paraId="7CE250E7" w14:textId="77777777" w:rsidR="00800720" w:rsidRDefault="00800720" w:rsidP="00800720">
      <w:pPr>
        <w:pStyle w:val="ListeParagraf"/>
        <w:contextualSpacing/>
        <w:jc w:val="center"/>
        <w:rPr>
          <w:rFonts w:eastAsiaTheme="minorEastAsia"/>
          <w:b/>
          <w:u w:val="single"/>
        </w:rPr>
      </w:pPr>
      <w:r>
        <w:rPr>
          <w:rFonts w:eastAsiaTheme="minorEastAsia"/>
          <w:b/>
          <w:u w:val="single"/>
        </w:rPr>
        <w:t>AYDINLATMA VE RIZA METNİ</w:t>
      </w:r>
    </w:p>
    <w:p w14:paraId="7CE250E8" w14:textId="77777777" w:rsidR="00800720" w:rsidRDefault="00800720" w:rsidP="00800720">
      <w:pPr>
        <w:pStyle w:val="ListeParagraf"/>
        <w:ind w:left="1134"/>
        <w:contextualSpacing/>
        <w:jc w:val="both"/>
        <w:rPr>
          <w:rFonts w:eastAsiaTheme="minorEastAsia"/>
          <w:b/>
        </w:rPr>
      </w:pPr>
    </w:p>
    <w:p w14:paraId="7CE250E9" w14:textId="77777777" w:rsidR="00800720" w:rsidRDefault="00800720" w:rsidP="00800720">
      <w:pPr>
        <w:pStyle w:val="ListeParagraf"/>
        <w:numPr>
          <w:ilvl w:val="0"/>
          <w:numId w:val="1"/>
        </w:numPr>
        <w:ind w:left="709" w:hanging="709"/>
        <w:contextualSpacing/>
        <w:jc w:val="both"/>
        <w:rPr>
          <w:rFonts w:eastAsiaTheme="minorEastAsia"/>
          <w:b/>
        </w:rPr>
      </w:pPr>
      <w:r>
        <w:rPr>
          <w:rFonts w:eastAsiaTheme="minorEastAsia"/>
          <w:b/>
        </w:rPr>
        <w:t>Giriş</w:t>
      </w:r>
    </w:p>
    <w:p w14:paraId="7CE250EA" w14:textId="77777777" w:rsidR="00800720" w:rsidRDefault="00800720" w:rsidP="00800720">
      <w:pPr>
        <w:pStyle w:val="ListeParagraf"/>
        <w:ind w:left="709"/>
        <w:contextualSpacing/>
        <w:jc w:val="both"/>
        <w:rPr>
          <w:rFonts w:eastAsiaTheme="minorEastAsia"/>
          <w:b/>
        </w:rPr>
      </w:pPr>
      <w:r>
        <w:rPr>
          <w:rFonts w:eastAsiaTheme="minorEastAsia"/>
          <w:b/>
        </w:rPr>
        <w:br/>
      </w:r>
      <w:r>
        <w:rPr>
          <w:shd w:val="clear" w:color="auto" w:fill="FFFFFF"/>
        </w:rPr>
        <w:t xml:space="preserve">İşbu aydınlatma ve rıza metni veri sorumlusu sıfatıyla hareket eden </w:t>
      </w:r>
      <w:r>
        <w:t>Mustafa Öncel Eğitim Kültür ve Yardımlaşma Vakfı</w:t>
      </w:r>
      <w:r>
        <w:rPr>
          <w:shd w:val="clear" w:color="auto" w:fill="FFFFFF"/>
        </w:rPr>
        <w:t xml:space="preserve"> (“</w:t>
      </w:r>
      <w:r>
        <w:rPr>
          <w:b/>
          <w:bCs/>
          <w:shd w:val="clear" w:color="auto" w:fill="FFFFFF"/>
        </w:rPr>
        <w:t>Vakıf</w:t>
      </w:r>
      <w:r>
        <w:rPr>
          <w:bCs/>
          <w:shd w:val="clear" w:color="auto" w:fill="FFFFFF"/>
        </w:rPr>
        <w:t>”) tarafından burs başvurusuna ilişkin olarak ilgililerden alınan kişisel verilerin ve özel nitelikli kişisel verilerin işlenmesi bağlamında 6698 sayılı Kişisel Verilerin Korunması Kanunu’na (“</w:t>
      </w:r>
      <w:r>
        <w:rPr>
          <w:b/>
          <w:bCs/>
          <w:shd w:val="clear" w:color="auto" w:fill="FFFFFF"/>
        </w:rPr>
        <w:t>Kanun</w:t>
      </w:r>
      <w:r>
        <w:rPr>
          <w:bCs/>
          <w:shd w:val="clear" w:color="auto" w:fill="FFFFFF"/>
        </w:rPr>
        <w:t>”) uygun olarak veri sahibinin açık rızasının alınması ve</w:t>
      </w:r>
      <w:r>
        <w:rPr>
          <w:shd w:val="clear" w:color="auto" w:fill="FFFFFF"/>
        </w:rPr>
        <w:t xml:space="preserve"> kişisel verilerin elde edilmesi sırasında Kanun’un 10. maddesinde belirtilen hususlar ve 11. maddede belirtilen ilgili kişinin hakları konusunda veri sahiplerinin aydınlatılması amacıyla hazırlanmıştır. </w:t>
      </w:r>
    </w:p>
    <w:p w14:paraId="7CE250EB" w14:textId="77777777" w:rsidR="00800720" w:rsidRDefault="00800720" w:rsidP="00800720">
      <w:pPr>
        <w:pStyle w:val="ListeParagraf"/>
        <w:ind w:left="1134"/>
        <w:contextualSpacing/>
        <w:rPr>
          <w:rFonts w:eastAsiaTheme="minorEastAsia"/>
          <w:b/>
        </w:rPr>
      </w:pPr>
    </w:p>
    <w:p w14:paraId="7CE250EC" w14:textId="77777777" w:rsidR="00800720" w:rsidRDefault="00800720" w:rsidP="00800720">
      <w:pPr>
        <w:pStyle w:val="ListeParagraf"/>
        <w:numPr>
          <w:ilvl w:val="0"/>
          <w:numId w:val="1"/>
        </w:numPr>
        <w:ind w:left="709" w:hanging="709"/>
        <w:contextualSpacing/>
        <w:jc w:val="both"/>
        <w:rPr>
          <w:rFonts w:eastAsiaTheme="minorEastAsia"/>
          <w:b/>
        </w:rPr>
      </w:pPr>
      <w:r>
        <w:rPr>
          <w:rFonts w:eastAsiaTheme="minorEastAsia"/>
          <w:b/>
        </w:rPr>
        <w:t>Tanımlar</w:t>
      </w:r>
    </w:p>
    <w:p w14:paraId="7CE250ED" w14:textId="77777777" w:rsidR="00800720" w:rsidRDefault="00800720" w:rsidP="00800720">
      <w:pPr>
        <w:pStyle w:val="ListeParagraf"/>
        <w:ind w:left="709"/>
        <w:contextualSpacing/>
        <w:jc w:val="both"/>
        <w:rPr>
          <w:rFonts w:eastAsiaTheme="minorEastAsia"/>
          <w:b/>
        </w:rPr>
      </w:pPr>
    </w:p>
    <w:p w14:paraId="7CE250EE" w14:textId="77777777" w:rsidR="00800720" w:rsidRDefault="00800720" w:rsidP="00800720">
      <w:pPr>
        <w:pStyle w:val="ListeParagraf"/>
        <w:ind w:left="709"/>
        <w:contextualSpacing/>
        <w:jc w:val="both"/>
        <w:rPr>
          <w:shd w:val="clear" w:color="auto" w:fill="FFFFFF"/>
        </w:rPr>
      </w:pPr>
      <w:r>
        <w:rPr>
          <w:shd w:val="clear" w:color="auto" w:fill="FFFFFF"/>
        </w:rPr>
        <w:t>İşbu aydınlatma ve rıza metninde kullanılan kişisel veri, özel nitelikli kişisel veri ve veri işleme kavramları Kanun’da yapılan tanımlara istinaden kullanılmıştır. Kanun’da geçen “</w:t>
      </w:r>
      <w:r>
        <w:rPr>
          <w:b/>
          <w:shd w:val="clear" w:color="auto" w:fill="FFFFFF"/>
        </w:rPr>
        <w:t>kişisel veri”</w:t>
      </w:r>
      <w:r>
        <w:rPr>
          <w:shd w:val="clear" w:color="auto" w:fill="FFFFFF"/>
        </w:rPr>
        <w:t xml:space="preserve"> kavramı kimliği belirli veya belirlenebilir gerçek kişiye ilişkin her türlü bilgiyi, “</w:t>
      </w:r>
      <w:r>
        <w:rPr>
          <w:b/>
          <w:shd w:val="clear" w:color="auto" w:fill="FFFFFF"/>
        </w:rPr>
        <w:t>kişisel verilerin işlenmesi</w:t>
      </w:r>
      <w:r>
        <w:rPr>
          <w:shd w:val="clear" w:color="auto" w:fill="FFFFFF"/>
        </w:rPr>
        <w:t>” kavramı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CE250EF" w14:textId="77777777" w:rsidR="00800720" w:rsidRDefault="00800720" w:rsidP="00800720">
      <w:pPr>
        <w:pStyle w:val="ListeParagraf"/>
        <w:ind w:left="709"/>
        <w:contextualSpacing/>
        <w:jc w:val="both"/>
        <w:rPr>
          <w:shd w:val="clear" w:color="auto" w:fill="FFFFFF"/>
        </w:rPr>
      </w:pPr>
    </w:p>
    <w:p w14:paraId="7CE250F0" w14:textId="77777777" w:rsidR="00800720" w:rsidRDefault="00800720" w:rsidP="00800720">
      <w:pPr>
        <w:pStyle w:val="ListeParagraf"/>
        <w:numPr>
          <w:ilvl w:val="0"/>
          <w:numId w:val="1"/>
        </w:numPr>
        <w:ind w:left="709" w:hanging="709"/>
        <w:contextualSpacing/>
        <w:jc w:val="both"/>
        <w:rPr>
          <w:shd w:val="clear" w:color="auto" w:fill="FFFFFF"/>
        </w:rPr>
      </w:pPr>
      <w:r>
        <w:rPr>
          <w:b/>
          <w:bCs/>
          <w:shd w:val="clear" w:color="auto" w:fill="FFFFFF"/>
        </w:rPr>
        <w:t>Kişisel</w:t>
      </w:r>
      <w:r>
        <w:rPr>
          <w:b/>
          <w:bCs/>
          <w:shd w:val="clear" w:color="auto" w:fill="FFFFFF"/>
          <w:lang w:val="en-US"/>
        </w:rPr>
        <w:t xml:space="preserve"> </w:t>
      </w:r>
      <w:r>
        <w:rPr>
          <w:rFonts w:eastAsiaTheme="minorEastAsia"/>
          <w:b/>
        </w:rPr>
        <w:t>Verilerin</w:t>
      </w:r>
      <w:r>
        <w:rPr>
          <w:b/>
          <w:bCs/>
          <w:shd w:val="clear" w:color="auto" w:fill="FFFFFF"/>
          <w:lang w:val="en-US"/>
        </w:rPr>
        <w:t xml:space="preserve"> </w:t>
      </w:r>
      <w:r>
        <w:rPr>
          <w:b/>
          <w:bCs/>
          <w:shd w:val="clear" w:color="auto" w:fill="FFFFFF"/>
        </w:rPr>
        <w:t>İşlenmesi</w:t>
      </w:r>
      <w:r>
        <w:rPr>
          <w:b/>
          <w:bCs/>
          <w:shd w:val="clear" w:color="auto" w:fill="FFFFFF"/>
          <w:lang w:val="en-US"/>
        </w:rPr>
        <w:t xml:space="preserve"> </w:t>
      </w:r>
      <w:r>
        <w:rPr>
          <w:b/>
          <w:bCs/>
          <w:shd w:val="clear" w:color="auto" w:fill="FFFFFF"/>
        </w:rPr>
        <w:t>İlkeleri</w:t>
      </w:r>
    </w:p>
    <w:p w14:paraId="7CE250F1" w14:textId="77777777" w:rsidR="00800720" w:rsidRDefault="00800720" w:rsidP="00800720">
      <w:pPr>
        <w:pStyle w:val="ListeParagraf"/>
        <w:ind w:left="709"/>
        <w:contextualSpacing/>
        <w:jc w:val="both"/>
        <w:rPr>
          <w:shd w:val="clear" w:color="auto" w:fill="FFFFFF"/>
        </w:rPr>
      </w:pPr>
    </w:p>
    <w:p w14:paraId="7CE250F2" w14:textId="77777777" w:rsidR="00800720" w:rsidRDefault="00800720" w:rsidP="00800720">
      <w:pPr>
        <w:pStyle w:val="ListeParagraf"/>
        <w:ind w:left="709"/>
        <w:contextualSpacing/>
        <w:jc w:val="both"/>
      </w:pPr>
      <w:r>
        <w:t xml:space="preserve">KVKK 4. maddesi uyarınca veri sahibine ait kişisel veriler; hukuka ve dürüstlük </w:t>
      </w:r>
      <w:r>
        <w:rPr>
          <w:shd w:val="clear" w:color="auto" w:fill="FFFFFF"/>
        </w:rPr>
        <w:t>kurallarına</w:t>
      </w:r>
      <w:r>
        <w:t xml:space="preserve"> uygun; doğru ve gerektiğinde güncel; belirli, açık ve meşru amaçlar için; işlendikleri amaçla bağlantılı, sınırlı ve ölçülü; ilgili mevzuatta öngörülen veya işlendikleri amaç için gerekli olan süre kadar muhafaza edilme kurallarına uygun bir şekilde veri sorumlusu Vakıf tarafından aşağıda belirtilen amaçlar kapsamında işlenecektir.</w:t>
      </w:r>
    </w:p>
    <w:p w14:paraId="7CE250F3" w14:textId="77777777" w:rsidR="00800720" w:rsidRDefault="00800720" w:rsidP="00800720">
      <w:pPr>
        <w:pStyle w:val="ListeParagraf"/>
        <w:ind w:left="709"/>
        <w:contextualSpacing/>
        <w:jc w:val="both"/>
      </w:pPr>
    </w:p>
    <w:p w14:paraId="7CE250F4" w14:textId="77777777" w:rsidR="00800720" w:rsidRDefault="00800720" w:rsidP="00800720">
      <w:pPr>
        <w:pStyle w:val="ListeParagraf"/>
        <w:numPr>
          <w:ilvl w:val="0"/>
          <w:numId w:val="1"/>
        </w:numPr>
        <w:ind w:left="709" w:hanging="709"/>
        <w:contextualSpacing/>
        <w:jc w:val="both"/>
        <w:rPr>
          <w:b/>
          <w:shd w:val="clear" w:color="auto" w:fill="FFFFFF"/>
        </w:rPr>
      </w:pPr>
      <w:r>
        <w:rPr>
          <w:b/>
          <w:shd w:val="clear" w:color="auto" w:fill="FFFFFF"/>
        </w:rPr>
        <w:t xml:space="preserve">Kişisel </w:t>
      </w:r>
      <w:r>
        <w:rPr>
          <w:b/>
          <w:bCs/>
          <w:shd w:val="clear" w:color="auto" w:fill="FFFFFF"/>
        </w:rPr>
        <w:t>Verilerin</w:t>
      </w:r>
      <w:r>
        <w:rPr>
          <w:b/>
          <w:shd w:val="clear" w:color="auto" w:fill="FFFFFF"/>
        </w:rPr>
        <w:t xml:space="preserve"> İşlenmesi Amaçları</w:t>
      </w:r>
    </w:p>
    <w:p w14:paraId="7CE250F5" w14:textId="77777777" w:rsidR="00800720" w:rsidRDefault="00800720" w:rsidP="00800720">
      <w:pPr>
        <w:pStyle w:val="ListeParagraf"/>
        <w:ind w:left="1134"/>
        <w:contextualSpacing/>
        <w:jc w:val="both"/>
        <w:rPr>
          <w:i/>
          <w:iCs/>
          <w:shd w:val="clear" w:color="auto" w:fill="FFFFFF"/>
          <w:lang w:val="en-US"/>
        </w:rPr>
      </w:pPr>
    </w:p>
    <w:p w14:paraId="7CE250F6" w14:textId="188EE085" w:rsidR="00800720" w:rsidRDefault="00800720" w:rsidP="00800720">
      <w:pPr>
        <w:pStyle w:val="ListeParagraf"/>
        <w:ind w:left="709"/>
        <w:contextualSpacing/>
        <w:jc w:val="both"/>
      </w:pPr>
      <w:bookmarkStart w:id="0" w:name="_GoBack"/>
      <w:bookmarkEnd w:id="0"/>
      <w:r>
        <w:t xml:space="preserve">Kişisel verileriniz, Kanun’un 5 ve 6. maddelerinde belirtilen kişisel verilerin işlenmesine ilişkin şartlara uygun olarak işlenmektedir. Kişisel verilerinizin işlenmesi amaçları tahdidi olmamak üzere: burs başvurunuz kapsamında gerekli değerlendirmenin yapılabilmesi, burs ödemeleri ve şartlarının takibi, sürecin yönetimidir. </w:t>
      </w:r>
    </w:p>
    <w:p w14:paraId="7CE250F7" w14:textId="77777777" w:rsidR="00800720" w:rsidRDefault="00800720" w:rsidP="00800720">
      <w:pPr>
        <w:pStyle w:val="ListeParagraf"/>
        <w:ind w:left="709"/>
        <w:contextualSpacing/>
        <w:jc w:val="both"/>
        <w:rPr>
          <w:i/>
          <w:iCs/>
          <w:shd w:val="clear" w:color="auto" w:fill="FFFFFF"/>
          <w:lang w:val="en-US"/>
        </w:rPr>
      </w:pPr>
    </w:p>
    <w:p w14:paraId="7CE250F8" w14:textId="77777777" w:rsidR="00800720" w:rsidRDefault="00800720" w:rsidP="00800720">
      <w:pPr>
        <w:pStyle w:val="ListeParagraf"/>
        <w:numPr>
          <w:ilvl w:val="0"/>
          <w:numId w:val="1"/>
        </w:numPr>
        <w:ind w:left="709" w:hanging="709"/>
        <w:contextualSpacing/>
        <w:jc w:val="both"/>
        <w:rPr>
          <w:b/>
          <w:shd w:val="clear" w:color="auto" w:fill="FFFFFF"/>
        </w:rPr>
      </w:pPr>
      <w:r>
        <w:rPr>
          <w:b/>
          <w:shd w:val="clear" w:color="auto" w:fill="FFFFFF"/>
        </w:rPr>
        <w:t xml:space="preserve">Kişisel Verilerinizin Aktarılması </w:t>
      </w:r>
    </w:p>
    <w:p w14:paraId="7CE250F9" w14:textId="77777777" w:rsidR="00800720" w:rsidRDefault="00800720" w:rsidP="00800720">
      <w:pPr>
        <w:pStyle w:val="ListeParagraf"/>
        <w:ind w:left="709"/>
        <w:contextualSpacing/>
        <w:jc w:val="both"/>
        <w:rPr>
          <w:b/>
          <w:shd w:val="clear" w:color="auto" w:fill="FFFFFF"/>
        </w:rPr>
      </w:pPr>
    </w:p>
    <w:p w14:paraId="7CE250FA" w14:textId="3CB62F68" w:rsidR="00800720" w:rsidRDefault="00800720" w:rsidP="00800720">
      <w:pPr>
        <w:pStyle w:val="ListeParagraf"/>
        <w:ind w:left="709"/>
        <w:contextualSpacing/>
        <w:jc w:val="both"/>
      </w:pPr>
      <w:r>
        <w:t xml:space="preserve">Kişisel verileriniz, yukarıda 4. maddede belirtilen amaçların gerçekleştirilmesi ile sınırlı olmak üzere, Selçuklu Holding A.Ş ve grup şirketlerine, bağlı şirketlerine, hissedarlarına, iş ortaklarına,  Kanun’un 8. ve 9. maddelerinde belirtilen şartlara uygun </w:t>
      </w:r>
      <w:r>
        <w:lastRenderedPageBreak/>
        <w:t>olarak aktarılabilecek ve aktarım yapılan bu firmalar/kuruluşlar tarafından da verileriniz işlenebilecektir.</w:t>
      </w:r>
    </w:p>
    <w:p w14:paraId="7CE250FB" w14:textId="77777777" w:rsidR="00800720" w:rsidRDefault="00800720" w:rsidP="00800720">
      <w:pPr>
        <w:pStyle w:val="ListeParagraf"/>
        <w:ind w:left="1134"/>
        <w:contextualSpacing/>
        <w:rPr>
          <w:b/>
          <w:shd w:val="clear" w:color="auto" w:fill="FFFFFF"/>
        </w:rPr>
      </w:pPr>
    </w:p>
    <w:p w14:paraId="7CE250FC" w14:textId="77777777" w:rsidR="00800720" w:rsidRDefault="00800720" w:rsidP="00800720">
      <w:pPr>
        <w:pStyle w:val="ListeParagraf"/>
        <w:numPr>
          <w:ilvl w:val="0"/>
          <w:numId w:val="1"/>
        </w:numPr>
        <w:ind w:left="709" w:hanging="709"/>
        <w:contextualSpacing/>
        <w:jc w:val="both"/>
        <w:rPr>
          <w:b/>
          <w:shd w:val="clear" w:color="auto" w:fill="FFFFFF"/>
        </w:rPr>
      </w:pPr>
      <w:r>
        <w:rPr>
          <w:b/>
        </w:rPr>
        <w:t xml:space="preserve">Kişisel </w:t>
      </w:r>
      <w:r>
        <w:rPr>
          <w:b/>
          <w:shd w:val="clear" w:color="auto" w:fill="FFFFFF"/>
        </w:rPr>
        <w:t>Verilerin</w:t>
      </w:r>
      <w:r>
        <w:rPr>
          <w:b/>
        </w:rPr>
        <w:t>/Özel Nitelikli Kişisel Verilerin Toplanma Yöntemi ve Hukuki Sebebi</w:t>
      </w:r>
    </w:p>
    <w:p w14:paraId="7CE250FD" w14:textId="77777777" w:rsidR="00800720" w:rsidRDefault="00800720" w:rsidP="00800720">
      <w:pPr>
        <w:pStyle w:val="ListeParagraf"/>
        <w:ind w:left="1134"/>
        <w:contextualSpacing/>
        <w:jc w:val="both"/>
        <w:rPr>
          <w:iCs/>
          <w:shd w:val="clear" w:color="auto" w:fill="FFFFFF"/>
          <w:lang w:val="en-US"/>
        </w:rPr>
      </w:pPr>
    </w:p>
    <w:p w14:paraId="7CE250FE" w14:textId="77777777" w:rsidR="00800720" w:rsidRDefault="00800720" w:rsidP="00800720">
      <w:pPr>
        <w:pStyle w:val="ListeParagraf"/>
        <w:ind w:left="709"/>
        <w:contextualSpacing/>
        <w:jc w:val="both"/>
        <w:rPr>
          <w:iCs/>
          <w:shd w:val="clear" w:color="auto" w:fill="FFFFFF"/>
        </w:rPr>
      </w:pPr>
      <w:r>
        <w:rPr>
          <w:iCs/>
          <w:shd w:val="clear" w:color="auto" w:fill="FFFFFF"/>
        </w:rPr>
        <w:t xml:space="preserve">Bahse konu kişisel veriler, Vakfa burs başvurusu yapan öğrencilerden doldurması istenen Burs Başvuru Formu’nın fiziki olarak doldurulup Vakfa teslim edilmesi ve/veya veri sahibi tarafından formun doldurularak elektronik ortamda Vakfa iletilmesi suretiyle toplanmaktadır. </w:t>
      </w:r>
    </w:p>
    <w:p w14:paraId="7CE250FF" w14:textId="77777777" w:rsidR="00800720" w:rsidRDefault="00800720" w:rsidP="00800720">
      <w:pPr>
        <w:pStyle w:val="ListeParagraf"/>
        <w:ind w:left="1134"/>
        <w:contextualSpacing/>
        <w:jc w:val="both"/>
        <w:rPr>
          <w:iCs/>
          <w:shd w:val="clear" w:color="auto" w:fill="FFFFFF"/>
        </w:rPr>
      </w:pPr>
    </w:p>
    <w:p w14:paraId="7CE25100" w14:textId="77777777" w:rsidR="00800720" w:rsidRDefault="00800720" w:rsidP="00800720">
      <w:pPr>
        <w:pStyle w:val="ListeParagraf"/>
        <w:numPr>
          <w:ilvl w:val="0"/>
          <w:numId w:val="1"/>
        </w:numPr>
        <w:ind w:left="709" w:hanging="709"/>
        <w:contextualSpacing/>
        <w:jc w:val="both"/>
        <w:rPr>
          <w:b/>
          <w:iCs/>
        </w:rPr>
      </w:pPr>
      <w:r>
        <w:rPr>
          <w:b/>
          <w:iCs/>
        </w:rPr>
        <w:t>Veri Sahibinin md.11’de Belirtilen Hakları</w:t>
      </w:r>
    </w:p>
    <w:p w14:paraId="7CE25101" w14:textId="77777777" w:rsidR="00800720" w:rsidRDefault="00800720" w:rsidP="00800720">
      <w:pPr>
        <w:spacing w:before="120" w:line="240" w:lineRule="auto"/>
        <w:ind w:left="709"/>
        <w:jc w:val="both"/>
        <w:rPr>
          <w:rFonts w:ascii="Times New Roman" w:hAnsi="Times New Roman"/>
          <w:iCs/>
        </w:rPr>
      </w:pPr>
      <w:r>
        <w:rPr>
          <w:rFonts w:ascii="Times New Roman" w:hAnsi="Times New Roman"/>
        </w:rPr>
        <w:t>Veri sahipleri, veri sorumlusu olarak hareket eden Vakıf’a başvurarak kendisiyle ilgili;</w:t>
      </w:r>
      <w:r>
        <w:rPr>
          <w:rFonts w:ascii="Times New Roman" w:hAnsi="Times New Roman"/>
          <w:b/>
          <w:iCs/>
        </w:rPr>
        <w:t xml:space="preserve"> </w:t>
      </w:r>
      <w:r>
        <w:rPr>
          <w:rFonts w:ascii="Times New Roman" w:hAnsi="Times New Roman"/>
          <w:iCs/>
        </w:rPr>
        <w:t>kişisel verisinin işlenip işlenmediğini öğrenme, kişisel verisinin işlenmişse buna ilişkin bilgi talep etme;</w:t>
      </w:r>
      <w:r>
        <w:rPr>
          <w:rFonts w:ascii="Times New Roman" w:hAnsi="Times New Roman"/>
          <w:b/>
          <w:iCs/>
        </w:rPr>
        <w:t xml:space="preserve"> </w:t>
      </w:r>
      <w:r>
        <w:rPr>
          <w:rFonts w:ascii="Times New Roman" w:hAnsi="Times New Roman"/>
          <w:iCs/>
        </w:rPr>
        <w:t>kişisel verilerinin işlenme amacını ve bunların amacına uygun kullanılıp kullanılmadığını öğrenme; yurt içinde veya yurt dışında kişisel verilerinin aktarıldığı üçüncü kişiler hakkında bilgilendirilme; kişisel verilerinin eksik veya yanlış işlenmiş olması hâlinde bunların düzeltilmesini talep etme; 6698 sayılı Kanun’un 7. maddesinde öngörülen şartlar çerçevesinde kişisel verilerinin silinmesini veya yok edilmesini talep etme;</w:t>
      </w:r>
      <w:r>
        <w:rPr>
          <w:rFonts w:ascii="Times New Roman" w:hAnsi="Times New Roman"/>
          <w:b/>
          <w:iCs/>
        </w:rPr>
        <w:t xml:space="preserve"> </w:t>
      </w:r>
      <w:r>
        <w:rPr>
          <w:rFonts w:ascii="Times New Roman" w:hAnsi="Times New Roman"/>
          <w:iCs/>
          <w:lang w:val="en-US"/>
        </w:rPr>
        <w:t>Kanun’un 11. maddesinin (d) ve (e) bentleri uyarınca yapılan işlemlerin, kişisel verilerinin aktarıldığı üçüncü kişilere bildirilmesini isteme</w:t>
      </w:r>
      <w:r>
        <w:rPr>
          <w:rFonts w:ascii="Times New Roman" w:hAnsi="Times New Roman"/>
          <w:iCs/>
        </w:rPr>
        <w:t xml:space="preserv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 </w:t>
      </w:r>
    </w:p>
    <w:p w14:paraId="7CE25102" w14:textId="77777777" w:rsidR="00800720" w:rsidRDefault="00800720" w:rsidP="00800720">
      <w:pPr>
        <w:spacing w:before="120" w:line="240" w:lineRule="auto"/>
        <w:ind w:left="709"/>
        <w:jc w:val="both"/>
        <w:rPr>
          <w:rFonts w:ascii="Times New Roman" w:hAnsi="Times New Roman"/>
          <w:iCs/>
        </w:rPr>
      </w:pPr>
    </w:p>
    <w:p w14:paraId="7CE25103" w14:textId="77777777" w:rsidR="00800720" w:rsidRDefault="00800720" w:rsidP="00800720">
      <w:pPr>
        <w:spacing w:after="0" w:line="240" w:lineRule="auto"/>
        <w:rPr>
          <w:rFonts w:ascii="Times New Roman" w:hAnsi="Times New Roman"/>
        </w:rPr>
      </w:pPr>
      <w:r>
        <w:rPr>
          <w:rFonts w:ascii="Times New Roman" w:hAnsi="Times New Roman"/>
        </w:rPr>
        <w:t>Ad/Soyad:</w:t>
      </w:r>
    </w:p>
    <w:p w14:paraId="7CE25104" w14:textId="77777777" w:rsidR="00800720" w:rsidRDefault="00800720" w:rsidP="00800720">
      <w:pPr>
        <w:spacing w:after="0" w:line="240" w:lineRule="auto"/>
        <w:rPr>
          <w:rFonts w:ascii="Times New Roman" w:hAnsi="Times New Roman"/>
        </w:rPr>
      </w:pPr>
      <w:r>
        <w:rPr>
          <w:rFonts w:ascii="Times New Roman" w:hAnsi="Times New Roman"/>
        </w:rPr>
        <w:t>Tarih:</w:t>
      </w:r>
    </w:p>
    <w:p w14:paraId="7CE25105" w14:textId="77777777" w:rsidR="00800720" w:rsidRDefault="00800720" w:rsidP="00800720">
      <w:pPr>
        <w:spacing w:after="0" w:line="240" w:lineRule="auto"/>
        <w:rPr>
          <w:rFonts w:ascii="Times New Roman" w:hAnsi="Times New Roman"/>
        </w:rPr>
      </w:pPr>
      <w:r>
        <w:rPr>
          <w:rFonts w:ascii="Times New Roman" w:hAnsi="Times New Roman"/>
        </w:rPr>
        <w:t>İmza:</w:t>
      </w:r>
    </w:p>
    <w:p w14:paraId="7CE25106" w14:textId="77777777" w:rsidR="005F4991" w:rsidRDefault="005F4991"/>
    <w:sectPr w:rsidR="005F4991" w:rsidSect="005F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123FA"/>
    <w:multiLevelType w:val="multilevel"/>
    <w:tmpl w:val="041F001F"/>
    <w:lvl w:ilvl="0">
      <w:start w:val="1"/>
      <w:numFmt w:val="decimal"/>
      <w:lvlText w:val="%1."/>
      <w:lvlJc w:val="left"/>
      <w:pPr>
        <w:ind w:left="360" w:hanging="360"/>
      </w:pPr>
      <w:rPr>
        <w:b/>
        <w:i w:val="0"/>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800720"/>
    <w:rsid w:val="005A48FC"/>
    <w:rsid w:val="005F4991"/>
    <w:rsid w:val="00800720"/>
    <w:rsid w:val="00983EDF"/>
    <w:rsid w:val="00C67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50E4"/>
  <w15:docId w15:val="{A122B909-3491-49AA-82E2-5D096D24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20"/>
    <w:pPr>
      <w:spacing w:after="240" w:line="23" w:lineRule="atLeas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800720"/>
    <w:pPr>
      <w:spacing w:after="200" w:line="240" w:lineRule="auto"/>
    </w:pPr>
    <w:rPr>
      <w:rFonts w:asciiTheme="minorHAnsi" w:eastAsiaTheme="minorHAnsi" w:hAnsiTheme="minorHAnsi" w:cstheme="minorBidi"/>
      <w:sz w:val="20"/>
      <w:szCs w:val="20"/>
      <w:lang w:val="en-US"/>
    </w:rPr>
  </w:style>
  <w:style w:type="character" w:customStyle="1" w:styleId="AklamaMetniChar">
    <w:name w:val="Açıklama Metni Char"/>
    <w:basedOn w:val="VarsaylanParagrafYazTipi"/>
    <w:link w:val="AklamaMetni"/>
    <w:uiPriority w:val="99"/>
    <w:semiHidden/>
    <w:rsid w:val="00800720"/>
    <w:rPr>
      <w:sz w:val="20"/>
      <w:szCs w:val="20"/>
      <w:lang w:val="en-US"/>
    </w:rPr>
  </w:style>
  <w:style w:type="character" w:styleId="AklamaBavurusu">
    <w:name w:val="annotation reference"/>
    <w:basedOn w:val="VarsaylanParagrafYazTipi"/>
    <w:uiPriority w:val="99"/>
    <w:semiHidden/>
    <w:unhideWhenUsed/>
    <w:rsid w:val="00800720"/>
    <w:rPr>
      <w:sz w:val="16"/>
      <w:szCs w:val="16"/>
    </w:rPr>
  </w:style>
  <w:style w:type="paragraph" w:styleId="ListeParagraf">
    <w:name w:val="List Paragraph"/>
    <w:basedOn w:val="Normal"/>
    <w:uiPriority w:val="34"/>
    <w:qFormat/>
    <w:rsid w:val="00800720"/>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800720"/>
    <w:rPr>
      <w:color w:val="0000FF"/>
      <w:u w:val="single"/>
    </w:rPr>
  </w:style>
  <w:style w:type="paragraph" w:styleId="BalonMetni">
    <w:name w:val="Balloon Text"/>
    <w:basedOn w:val="Normal"/>
    <w:link w:val="BalonMetniChar"/>
    <w:uiPriority w:val="99"/>
    <w:semiHidden/>
    <w:unhideWhenUsed/>
    <w:rsid w:val="008007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7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Kütüphane</dc:creator>
  <cp:lastModifiedBy>Esra Hamaratlar</cp:lastModifiedBy>
  <cp:revision>5</cp:revision>
  <dcterms:created xsi:type="dcterms:W3CDTF">2022-08-22T09:51:00Z</dcterms:created>
  <dcterms:modified xsi:type="dcterms:W3CDTF">2022-09-04T07:06:00Z</dcterms:modified>
</cp:coreProperties>
</file>